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51" w:rsidRPr="00934343" w:rsidRDefault="002A0A51" w:rsidP="002A0A51">
      <w:pPr>
        <w:pStyle w:val="Defaul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934343">
        <w:rPr>
          <w:rFonts w:asciiTheme="minorHAnsi" w:hAnsiTheme="minorHAnsi"/>
          <w:b/>
          <w:sz w:val="22"/>
          <w:szCs w:val="22"/>
        </w:rPr>
        <w:t xml:space="preserve">Rammeaftalen </w:t>
      </w:r>
      <w:r w:rsidR="00934343" w:rsidRPr="00934343">
        <w:rPr>
          <w:rFonts w:asciiTheme="minorHAnsi" w:hAnsiTheme="minorHAnsi"/>
          <w:b/>
          <w:sz w:val="22"/>
          <w:szCs w:val="22"/>
        </w:rPr>
        <w:t xml:space="preserve">2015 </w:t>
      </w:r>
      <w:r w:rsidRPr="00934343">
        <w:rPr>
          <w:rFonts w:asciiTheme="minorHAnsi" w:hAnsiTheme="minorHAnsi"/>
          <w:b/>
          <w:sz w:val="22"/>
          <w:szCs w:val="22"/>
        </w:rPr>
        <w:t>for specialundervisning og det specialiserede socialområde – godkendelse af styringsaftalen</w:t>
      </w:r>
      <w:r w:rsidR="001D78CA" w:rsidRPr="00934343">
        <w:rPr>
          <w:rFonts w:asciiTheme="minorHAnsi" w:hAnsiTheme="minorHAnsi"/>
          <w:b/>
          <w:sz w:val="22"/>
          <w:szCs w:val="22"/>
        </w:rPr>
        <w:t xml:space="preserve"> </w:t>
      </w:r>
    </w:p>
    <w:p w:rsidR="002A0A51" w:rsidRPr="00934343" w:rsidRDefault="002A0A51" w:rsidP="002A0A51">
      <w:pPr>
        <w:pStyle w:val="Default"/>
        <w:rPr>
          <w:rFonts w:asciiTheme="minorHAnsi" w:hAnsiTheme="minorHAnsi"/>
          <w:sz w:val="22"/>
          <w:szCs w:val="22"/>
        </w:rPr>
      </w:pPr>
    </w:p>
    <w:p w:rsidR="00326504" w:rsidRPr="00934343" w:rsidRDefault="00326504" w:rsidP="00B468D7">
      <w:pPr>
        <w:pStyle w:val="Default"/>
        <w:rPr>
          <w:rFonts w:asciiTheme="minorHAnsi" w:hAnsiTheme="minorHAnsi"/>
          <w:b/>
          <w:i/>
          <w:sz w:val="22"/>
          <w:szCs w:val="22"/>
        </w:rPr>
      </w:pPr>
      <w:r w:rsidRPr="00934343">
        <w:rPr>
          <w:rFonts w:asciiTheme="minorHAnsi" w:hAnsiTheme="minorHAnsi"/>
          <w:b/>
          <w:i/>
          <w:sz w:val="22"/>
          <w:szCs w:val="22"/>
        </w:rPr>
        <w:t>Baggrund</w:t>
      </w:r>
    </w:p>
    <w:p w:rsidR="008F1FB5" w:rsidRPr="00934343" w:rsidRDefault="006C11AD" w:rsidP="00B468D7">
      <w:pPr>
        <w:pStyle w:val="Default"/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 xml:space="preserve">De nordjyske kommuner har </w:t>
      </w:r>
      <w:r w:rsidR="00B468D7" w:rsidRPr="00934343">
        <w:rPr>
          <w:rFonts w:asciiTheme="minorHAnsi" w:hAnsiTheme="minorHAnsi"/>
          <w:sz w:val="22"/>
          <w:szCs w:val="22"/>
        </w:rPr>
        <w:t xml:space="preserve">ansvar for </w:t>
      </w:r>
      <w:r w:rsidRPr="00934343">
        <w:rPr>
          <w:rFonts w:asciiTheme="minorHAnsi" w:hAnsiTheme="minorHAnsi"/>
          <w:sz w:val="22"/>
          <w:szCs w:val="22"/>
        </w:rPr>
        <w:t xml:space="preserve">at sikre en fælles </w:t>
      </w:r>
      <w:r w:rsidR="00B468D7" w:rsidRPr="00934343">
        <w:rPr>
          <w:rFonts w:asciiTheme="minorHAnsi" w:hAnsiTheme="minorHAnsi"/>
          <w:sz w:val="22"/>
          <w:szCs w:val="22"/>
        </w:rPr>
        <w:t>koordineringen af</w:t>
      </w:r>
      <w:r w:rsidR="008F1FB5" w:rsidRPr="00934343">
        <w:rPr>
          <w:rFonts w:asciiTheme="minorHAnsi" w:hAnsiTheme="minorHAnsi"/>
          <w:sz w:val="22"/>
          <w:szCs w:val="22"/>
        </w:rPr>
        <w:t xml:space="preserve"> det specialiserede socialområde</w:t>
      </w:r>
      <w:r w:rsidR="00B468D7" w:rsidRPr="00934343">
        <w:rPr>
          <w:rFonts w:asciiTheme="minorHAnsi" w:hAnsiTheme="minorHAnsi"/>
          <w:sz w:val="22"/>
          <w:szCs w:val="22"/>
        </w:rPr>
        <w:t xml:space="preserve"> og specialundervisningsområdet</w:t>
      </w:r>
      <w:r w:rsidR="006844B2" w:rsidRPr="00934343">
        <w:rPr>
          <w:rFonts w:asciiTheme="minorHAnsi" w:hAnsiTheme="minorHAnsi"/>
          <w:sz w:val="22"/>
          <w:szCs w:val="22"/>
        </w:rPr>
        <w:t xml:space="preserve"> i regionen</w:t>
      </w:r>
      <w:r w:rsidR="00B468D7" w:rsidRPr="00934343">
        <w:rPr>
          <w:rFonts w:asciiTheme="minorHAnsi" w:hAnsiTheme="minorHAnsi"/>
          <w:sz w:val="22"/>
          <w:szCs w:val="22"/>
        </w:rPr>
        <w:t xml:space="preserve">. </w:t>
      </w:r>
      <w:r w:rsidR="00384AC2" w:rsidRPr="00934343">
        <w:rPr>
          <w:rFonts w:asciiTheme="minorHAnsi" w:hAnsiTheme="minorHAnsi"/>
          <w:sz w:val="22"/>
          <w:szCs w:val="22"/>
        </w:rPr>
        <w:t xml:space="preserve">Ansvaret </w:t>
      </w:r>
      <w:r w:rsidR="00B468D7" w:rsidRPr="00934343">
        <w:rPr>
          <w:rFonts w:asciiTheme="minorHAnsi" w:hAnsiTheme="minorHAnsi"/>
          <w:sz w:val="22"/>
          <w:szCs w:val="22"/>
        </w:rPr>
        <w:t>indebærer</w:t>
      </w:r>
      <w:r w:rsidRPr="00934343">
        <w:rPr>
          <w:rFonts w:asciiTheme="minorHAnsi" w:hAnsiTheme="minorHAnsi"/>
          <w:sz w:val="22"/>
          <w:szCs w:val="22"/>
        </w:rPr>
        <w:t xml:space="preserve">, at </w:t>
      </w:r>
      <w:r w:rsidR="001540C1" w:rsidRPr="00934343">
        <w:rPr>
          <w:rFonts w:asciiTheme="minorHAnsi" w:hAnsiTheme="minorHAnsi"/>
          <w:sz w:val="22"/>
          <w:szCs w:val="22"/>
        </w:rPr>
        <w:t>der</w:t>
      </w:r>
      <w:r w:rsidR="00553082" w:rsidRPr="00934343">
        <w:rPr>
          <w:rFonts w:asciiTheme="minorHAnsi" w:hAnsiTheme="minorHAnsi"/>
          <w:sz w:val="22"/>
          <w:szCs w:val="22"/>
        </w:rPr>
        <w:t xml:space="preserve"> </w:t>
      </w:r>
      <w:r w:rsidRPr="00934343">
        <w:rPr>
          <w:rFonts w:asciiTheme="minorHAnsi" w:hAnsiTheme="minorHAnsi"/>
          <w:sz w:val="22"/>
          <w:szCs w:val="22"/>
        </w:rPr>
        <w:t xml:space="preserve">hvert år skal </w:t>
      </w:r>
      <w:r w:rsidR="00384AC2" w:rsidRPr="00934343">
        <w:rPr>
          <w:rFonts w:asciiTheme="minorHAnsi" w:hAnsiTheme="minorHAnsi"/>
          <w:sz w:val="22"/>
          <w:szCs w:val="22"/>
        </w:rPr>
        <w:t>indgå</w:t>
      </w:r>
      <w:r w:rsidR="001540C1" w:rsidRPr="00934343">
        <w:rPr>
          <w:rFonts w:asciiTheme="minorHAnsi" w:hAnsiTheme="minorHAnsi"/>
          <w:sz w:val="22"/>
          <w:szCs w:val="22"/>
        </w:rPr>
        <w:t>s</w:t>
      </w:r>
      <w:r w:rsidR="00384AC2" w:rsidRPr="00934343">
        <w:rPr>
          <w:rFonts w:asciiTheme="minorHAnsi" w:hAnsiTheme="minorHAnsi"/>
          <w:sz w:val="22"/>
          <w:szCs w:val="22"/>
        </w:rPr>
        <w:t xml:space="preserve"> en rammeaftale</w:t>
      </w:r>
      <w:r w:rsidR="00553082" w:rsidRPr="00934343">
        <w:rPr>
          <w:rFonts w:asciiTheme="minorHAnsi" w:hAnsiTheme="minorHAnsi"/>
          <w:sz w:val="22"/>
          <w:szCs w:val="22"/>
        </w:rPr>
        <w:t xml:space="preserve"> </w:t>
      </w:r>
      <w:r w:rsidR="00384AC2" w:rsidRPr="00934343">
        <w:rPr>
          <w:rFonts w:asciiTheme="minorHAnsi" w:hAnsiTheme="minorHAnsi"/>
          <w:sz w:val="22"/>
          <w:szCs w:val="22"/>
        </w:rPr>
        <w:t>om faglig udvikling, styring og koordinering af kommunale og regionale tilbud på området</w:t>
      </w:r>
      <w:r w:rsidR="00B468D7" w:rsidRPr="00934343">
        <w:rPr>
          <w:rFonts w:asciiTheme="minorHAnsi" w:hAnsiTheme="minorHAnsi"/>
          <w:sz w:val="22"/>
          <w:szCs w:val="22"/>
        </w:rPr>
        <w:t>.</w:t>
      </w:r>
      <w:r w:rsidR="00553082" w:rsidRPr="00934343">
        <w:rPr>
          <w:rFonts w:asciiTheme="minorHAnsi" w:hAnsiTheme="minorHAnsi"/>
          <w:sz w:val="22"/>
          <w:szCs w:val="22"/>
        </w:rPr>
        <w:t xml:space="preserve"> </w:t>
      </w:r>
    </w:p>
    <w:p w:rsidR="00553082" w:rsidRPr="00934343" w:rsidRDefault="00553082" w:rsidP="00B468D7">
      <w:pPr>
        <w:pStyle w:val="Default"/>
        <w:rPr>
          <w:rFonts w:asciiTheme="minorHAnsi" w:hAnsiTheme="minorHAnsi"/>
          <w:sz w:val="22"/>
          <w:szCs w:val="22"/>
        </w:rPr>
      </w:pPr>
    </w:p>
    <w:p w:rsidR="00B468D7" w:rsidRPr="00934343" w:rsidRDefault="00B468D7" w:rsidP="00B468D7">
      <w:pPr>
        <w:pStyle w:val="Default"/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 xml:space="preserve">Rammeaftalen </w:t>
      </w:r>
      <w:r w:rsidR="00384AC2" w:rsidRPr="00934343">
        <w:rPr>
          <w:rFonts w:asciiTheme="minorHAnsi" w:hAnsiTheme="minorHAnsi"/>
          <w:sz w:val="22"/>
          <w:szCs w:val="22"/>
        </w:rPr>
        <w:t xml:space="preserve">skal </w:t>
      </w:r>
      <w:r w:rsidRPr="00934343">
        <w:rPr>
          <w:rFonts w:asciiTheme="minorHAnsi" w:hAnsiTheme="minorHAnsi"/>
          <w:sz w:val="22"/>
          <w:szCs w:val="22"/>
        </w:rPr>
        <w:t>bestå af en faglig udviklingsstrategi og en økonomisk styringsaftale</w:t>
      </w:r>
      <w:r w:rsidR="00296807" w:rsidRPr="00934343">
        <w:rPr>
          <w:rFonts w:asciiTheme="minorHAnsi" w:hAnsiTheme="minorHAnsi"/>
          <w:sz w:val="22"/>
          <w:szCs w:val="22"/>
        </w:rPr>
        <w:t xml:space="preserve">. </w:t>
      </w:r>
      <w:r w:rsidRPr="00934343">
        <w:rPr>
          <w:rFonts w:asciiTheme="minorHAnsi" w:hAnsiTheme="minorHAnsi"/>
          <w:sz w:val="22"/>
          <w:szCs w:val="22"/>
        </w:rPr>
        <w:t>Udviklingsstrategien</w:t>
      </w:r>
      <w:r w:rsidR="00934343" w:rsidRPr="00934343">
        <w:rPr>
          <w:rFonts w:asciiTheme="minorHAnsi" w:hAnsiTheme="minorHAnsi"/>
          <w:sz w:val="22"/>
          <w:szCs w:val="22"/>
        </w:rPr>
        <w:t xml:space="preserve"> for 2015</w:t>
      </w:r>
      <w:r w:rsidR="006C11AD" w:rsidRPr="00934343">
        <w:rPr>
          <w:rFonts w:asciiTheme="minorHAnsi" w:hAnsiTheme="minorHAnsi"/>
          <w:sz w:val="22"/>
          <w:szCs w:val="22"/>
        </w:rPr>
        <w:t xml:space="preserve"> er tidligere i år blevet</w:t>
      </w:r>
      <w:r w:rsidRPr="00934343">
        <w:rPr>
          <w:rFonts w:asciiTheme="minorHAnsi" w:hAnsiTheme="minorHAnsi"/>
          <w:sz w:val="22"/>
          <w:szCs w:val="22"/>
        </w:rPr>
        <w:t xml:space="preserve"> godkend</w:t>
      </w:r>
      <w:r w:rsidR="006C11AD" w:rsidRPr="00934343">
        <w:rPr>
          <w:rFonts w:asciiTheme="minorHAnsi" w:hAnsiTheme="minorHAnsi"/>
          <w:sz w:val="22"/>
          <w:szCs w:val="22"/>
        </w:rPr>
        <w:t xml:space="preserve">t </w:t>
      </w:r>
      <w:r w:rsidRPr="00934343">
        <w:rPr>
          <w:rFonts w:asciiTheme="minorHAnsi" w:hAnsiTheme="minorHAnsi"/>
          <w:sz w:val="22"/>
          <w:szCs w:val="22"/>
        </w:rPr>
        <w:t xml:space="preserve">af </w:t>
      </w:r>
      <w:r w:rsidR="006C11AD" w:rsidRPr="00934343">
        <w:rPr>
          <w:rFonts w:asciiTheme="minorHAnsi" w:hAnsiTheme="minorHAnsi"/>
          <w:sz w:val="22"/>
          <w:szCs w:val="22"/>
        </w:rPr>
        <w:t xml:space="preserve">de </w:t>
      </w:r>
      <w:r w:rsidR="00553082" w:rsidRPr="00934343">
        <w:rPr>
          <w:rFonts w:asciiTheme="minorHAnsi" w:hAnsiTheme="minorHAnsi"/>
          <w:sz w:val="22"/>
          <w:szCs w:val="22"/>
        </w:rPr>
        <w:t xml:space="preserve">11 </w:t>
      </w:r>
      <w:r w:rsidR="006C11AD" w:rsidRPr="00934343">
        <w:rPr>
          <w:rFonts w:asciiTheme="minorHAnsi" w:hAnsiTheme="minorHAnsi"/>
          <w:sz w:val="22"/>
          <w:szCs w:val="22"/>
        </w:rPr>
        <w:t>nordjyske kommunalbestyrelser</w:t>
      </w:r>
      <w:r w:rsidRPr="00934343">
        <w:rPr>
          <w:rFonts w:asciiTheme="minorHAnsi" w:hAnsiTheme="minorHAnsi"/>
          <w:sz w:val="22"/>
          <w:szCs w:val="22"/>
        </w:rPr>
        <w:t xml:space="preserve"> og Regionsrådet</w:t>
      </w:r>
      <w:r w:rsidR="00553082" w:rsidRPr="00934343">
        <w:rPr>
          <w:rFonts w:asciiTheme="minorHAnsi" w:hAnsiTheme="minorHAnsi"/>
          <w:sz w:val="22"/>
          <w:szCs w:val="22"/>
        </w:rPr>
        <w:t xml:space="preserve">. Nu forestår behandlingen af </w:t>
      </w:r>
      <w:r w:rsidR="00326504" w:rsidRPr="00934343">
        <w:rPr>
          <w:rFonts w:asciiTheme="minorHAnsi" w:hAnsiTheme="minorHAnsi"/>
          <w:sz w:val="22"/>
          <w:szCs w:val="22"/>
        </w:rPr>
        <w:t xml:space="preserve">den </w:t>
      </w:r>
      <w:r w:rsidR="001D78CA" w:rsidRPr="00934343">
        <w:rPr>
          <w:rFonts w:asciiTheme="minorHAnsi" w:hAnsiTheme="minorHAnsi"/>
          <w:sz w:val="22"/>
          <w:szCs w:val="22"/>
        </w:rPr>
        <w:t xml:space="preserve">økonomiske </w:t>
      </w:r>
      <w:r w:rsidR="006C11AD" w:rsidRPr="00934343">
        <w:rPr>
          <w:rFonts w:asciiTheme="minorHAnsi" w:hAnsiTheme="minorHAnsi"/>
          <w:sz w:val="22"/>
          <w:szCs w:val="22"/>
        </w:rPr>
        <w:t>styringsaftale for 201</w:t>
      </w:r>
      <w:r w:rsidR="00F8421C" w:rsidRPr="00934343">
        <w:rPr>
          <w:rFonts w:asciiTheme="minorHAnsi" w:hAnsiTheme="minorHAnsi"/>
          <w:sz w:val="22"/>
          <w:szCs w:val="22"/>
        </w:rPr>
        <w:t>5</w:t>
      </w:r>
      <w:r w:rsidR="006C11AD" w:rsidRPr="00934343">
        <w:rPr>
          <w:rFonts w:asciiTheme="minorHAnsi" w:hAnsiTheme="minorHAnsi"/>
          <w:sz w:val="22"/>
          <w:szCs w:val="22"/>
        </w:rPr>
        <w:t xml:space="preserve">, der </w:t>
      </w:r>
      <w:r w:rsidRPr="00934343">
        <w:rPr>
          <w:rFonts w:asciiTheme="minorHAnsi" w:hAnsiTheme="minorHAnsi"/>
          <w:sz w:val="22"/>
          <w:szCs w:val="22"/>
        </w:rPr>
        <w:t>skal være godkendt senest den 15. oktober</w:t>
      </w:r>
      <w:r w:rsidR="001D78CA" w:rsidRPr="00934343">
        <w:rPr>
          <w:rFonts w:asciiTheme="minorHAnsi" w:hAnsiTheme="minorHAnsi"/>
          <w:sz w:val="22"/>
          <w:szCs w:val="22"/>
        </w:rPr>
        <w:t xml:space="preserve"> 201</w:t>
      </w:r>
      <w:r w:rsidR="00F8421C" w:rsidRPr="00934343">
        <w:rPr>
          <w:rFonts w:asciiTheme="minorHAnsi" w:hAnsiTheme="minorHAnsi"/>
          <w:sz w:val="22"/>
          <w:szCs w:val="22"/>
        </w:rPr>
        <w:t>4</w:t>
      </w:r>
      <w:r w:rsidR="006C11AD" w:rsidRPr="00934343">
        <w:rPr>
          <w:rFonts w:asciiTheme="minorHAnsi" w:hAnsiTheme="minorHAnsi"/>
          <w:sz w:val="22"/>
          <w:szCs w:val="22"/>
        </w:rPr>
        <w:t>.</w:t>
      </w:r>
      <w:r w:rsidRPr="00934343">
        <w:rPr>
          <w:rFonts w:asciiTheme="minorHAnsi" w:hAnsiTheme="minorHAnsi"/>
          <w:sz w:val="22"/>
          <w:szCs w:val="22"/>
        </w:rPr>
        <w:t xml:space="preserve"> </w:t>
      </w:r>
    </w:p>
    <w:p w:rsidR="00B468D7" w:rsidRPr="00934343" w:rsidRDefault="00B468D7" w:rsidP="00B468D7">
      <w:pPr>
        <w:pStyle w:val="Default"/>
        <w:rPr>
          <w:rFonts w:asciiTheme="minorHAnsi" w:hAnsiTheme="minorHAnsi"/>
          <w:sz w:val="22"/>
          <w:szCs w:val="22"/>
        </w:rPr>
      </w:pPr>
    </w:p>
    <w:p w:rsidR="001D78CA" w:rsidRPr="00934343" w:rsidRDefault="001D78CA" w:rsidP="00B468D7">
      <w:pPr>
        <w:pStyle w:val="Default"/>
        <w:rPr>
          <w:rFonts w:asciiTheme="minorHAnsi" w:hAnsiTheme="minorHAnsi"/>
          <w:sz w:val="22"/>
          <w:szCs w:val="22"/>
        </w:rPr>
      </w:pPr>
      <w:r w:rsidRPr="009B0F5A">
        <w:rPr>
          <w:rFonts w:asciiTheme="minorHAnsi" w:hAnsiTheme="minorHAnsi"/>
          <w:sz w:val="22"/>
          <w:szCs w:val="22"/>
        </w:rPr>
        <w:t xml:space="preserve">Udkastet til styringsaftalen er blevet behandlet i KKR den </w:t>
      </w:r>
      <w:r w:rsidR="00296807" w:rsidRPr="009B0F5A">
        <w:rPr>
          <w:rFonts w:asciiTheme="minorHAnsi" w:hAnsiTheme="minorHAnsi"/>
          <w:sz w:val="22"/>
          <w:szCs w:val="22"/>
        </w:rPr>
        <w:t>12</w:t>
      </w:r>
      <w:r w:rsidRPr="009B0F5A">
        <w:rPr>
          <w:rFonts w:asciiTheme="minorHAnsi" w:hAnsiTheme="minorHAnsi"/>
          <w:sz w:val="22"/>
          <w:szCs w:val="22"/>
        </w:rPr>
        <w:t xml:space="preserve">. </w:t>
      </w:r>
      <w:r w:rsidR="00296807" w:rsidRPr="009B0F5A">
        <w:rPr>
          <w:rFonts w:asciiTheme="minorHAnsi" w:hAnsiTheme="minorHAnsi"/>
          <w:sz w:val="22"/>
          <w:szCs w:val="22"/>
        </w:rPr>
        <w:t xml:space="preserve">september </w:t>
      </w:r>
      <w:r w:rsidRPr="009B0F5A">
        <w:rPr>
          <w:rFonts w:asciiTheme="minorHAnsi" w:hAnsiTheme="minorHAnsi"/>
          <w:sz w:val="22"/>
          <w:szCs w:val="22"/>
        </w:rPr>
        <w:t>201</w:t>
      </w:r>
      <w:r w:rsidR="00296807" w:rsidRPr="009B0F5A">
        <w:rPr>
          <w:rFonts w:asciiTheme="minorHAnsi" w:hAnsiTheme="minorHAnsi"/>
          <w:sz w:val="22"/>
          <w:szCs w:val="22"/>
        </w:rPr>
        <w:t>4</w:t>
      </w:r>
      <w:r w:rsidRPr="009B0F5A">
        <w:rPr>
          <w:rFonts w:asciiTheme="minorHAnsi" w:hAnsiTheme="minorHAnsi"/>
          <w:sz w:val="22"/>
          <w:szCs w:val="22"/>
        </w:rPr>
        <w:t>, hvor der var enighed om at indstille det vedlagte udkast til de nordjyske kommunalbestyrelsers godkendelse.</w:t>
      </w:r>
    </w:p>
    <w:p w:rsidR="001D78CA" w:rsidRPr="00934343" w:rsidRDefault="001D78CA" w:rsidP="00B468D7">
      <w:pPr>
        <w:pStyle w:val="Default"/>
        <w:rPr>
          <w:rFonts w:asciiTheme="minorHAnsi" w:hAnsiTheme="minorHAnsi"/>
          <w:sz w:val="22"/>
          <w:szCs w:val="22"/>
        </w:rPr>
      </w:pPr>
    </w:p>
    <w:p w:rsidR="00326504" w:rsidRPr="00934343" w:rsidRDefault="00326504" w:rsidP="00D5332B">
      <w:pPr>
        <w:pStyle w:val="Default"/>
        <w:rPr>
          <w:rFonts w:asciiTheme="minorHAnsi" w:hAnsiTheme="minorHAnsi"/>
          <w:b/>
          <w:i/>
          <w:sz w:val="22"/>
          <w:szCs w:val="22"/>
        </w:rPr>
      </w:pPr>
      <w:r w:rsidRPr="00934343">
        <w:rPr>
          <w:rFonts w:asciiTheme="minorHAnsi" w:hAnsiTheme="minorHAnsi"/>
          <w:b/>
          <w:i/>
          <w:sz w:val="22"/>
          <w:szCs w:val="22"/>
        </w:rPr>
        <w:t>Styringsaftalens indhold</w:t>
      </w:r>
    </w:p>
    <w:p w:rsidR="00D5332B" w:rsidRPr="00934343" w:rsidRDefault="00D5332B" w:rsidP="00D5332B">
      <w:pPr>
        <w:pStyle w:val="Default"/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 xml:space="preserve">Den økonomiske styringsaftale fastlægger </w:t>
      </w:r>
      <w:r w:rsidR="006C11AD" w:rsidRPr="00934343">
        <w:rPr>
          <w:rFonts w:asciiTheme="minorHAnsi" w:hAnsiTheme="minorHAnsi"/>
          <w:sz w:val="22"/>
          <w:szCs w:val="22"/>
        </w:rPr>
        <w:t>de grundlæggende retningslinjer</w:t>
      </w:r>
      <w:r w:rsidRPr="00934343">
        <w:rPr>
          <w:rFonts w:asciiTheme="minorHAnsi" w:hAnsiTheme="minorHAnsi"/>
          <w:sz w:val="22"/>
          <w:szCs w:val="22"/>
        </w:rPr>
        <w:t xml:space="preserve"> for kommunernes handel med pladser på </w:t>
      </w:r>
      <w:r w:rsidR="00241960" w:rsidRPr="00934343">
        <w:rPr>
          <w:rFonts w:asciiTheme="minorHAnsi" w:hAnsiTheme="minorHAnsi"/>
          <w:sz w:val="22"/>
          <w:szCs w:val="22"/>
        </w:rPr>
        <w:t xml:space="preserve">specialundervisningstilbud og tilbud på </w:t>
      </w:r>
      <w:r w:rsidRPr="00934343">
        <w:rPr>
          <w:rFonts w:asciiTheme="minorHAnsi" w:hAnsiTheme="minorHAnsi"/>
          <w:sz w:val="22"/>
          <w:szCs w:val="22"/>
        </w:rPr>
        <w:t>det sociale område</w:t>
      </w:r>
      <w:r w:rsidR="00241960" w:rsidRPr="00934343">
        <w:rPr>
          <w:rFonts w:asciiTheme="minorHAnsi" w:hAnsiTheme="minorHAnsi"/>
          <w:sz w:val="22"/>
          <w:szCs w:val="22"/>
        </w:rPr>
        <w:t xml:space="preserve"> i Nordjylland.</w:t>
      </w:r>
      <w:r w:rsidRPr="00934343">
        <w:rPr>
          <w:rFonts w:asciiTheme="minorHAnsi" w:hAnsiTheme="minorHAnsi"/>
          <w:sz w:val="22"/>
          <w:szCs w:val="22"/>
        </w:rPr>
        <w:t xml:space="preserve"> </w:t>
      </w:r>
    </w:p>
    <w:p w:rsidR="00D5332B" w:rsidRPr="00934343" w:rsidRDefault="00D5332B" w:rsidP="00D5332B">
      <w:pPr>
        <w:pStyle w:val="Default"/>
        <w:rPr>
          <w:rFonts w:asciiTheme="minorHAnsi" w:hAnsiTheme="minorHAnsi"/>
          <w:sz w:val="22"/>
          <w:szCs w:val="22"/>
        </w:rPr>
      </w:pPr>
    </w:p>
    <w:p w:rsidR="00D5332B" w:rsidRPr="00934343" w:rsidRDefault="00D5332B" w:rsidP="00D5332B">
      <w:pPr>
        <w:pStyle w:val="Default"/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 xml:space="preserve">De grundlæggende principper for styringsaftalen er følgende fire elementer, som indholdet i styringsaftalen sigter efter: </w:t>
      </w:r>
    </w:p>
    <w:p w:rsidR="00CA2A47" w:rsidRPr="00934343" w:rsidRDefault="00CA2A47" w:rsidP="00D5332B">
      <w:pPr>
        <w:pStyle w:val="Default"/>
        <w:rPr>
          <w:rFonts w:asciiTheme="minorHAnsi" w:hAnsiTheme="minorHAnsi"/>
          <w:sz w:val="22"/>
          <w:szCs w:val="22"/>
        </w:rPr>
      </w:pPr>
    </w:p>
    <w:p w:rsidR="006C11AD" w:rsidRPr="00934343" w:rsidRDefault="00D5332B" w:rsidP="00D5332B">
      <w:pPr>
        <w:pStyle w:val="Default"/>
        <w:numPr>
          <w:ilvl w:val="0"/>
          <w:numId w:val="2"/>
        </w:numPr>
        <w:spacing w:after="50"/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 xml:space="preserve">Incitament til effektiv drift – både </w:t>
      </w:r>
      <w:r w:rsidR="006C11AD" w:rsidRPr="00934343">
        <w:rPr>
          <w:rFonts w:asciiTheme="minorHAnsi" w:hAnsiTheme="minorHAnsi"/>
          <w:sz w:val="22"/>
          <w:szCs w:val="22"/>
        </w:rPr>
        <w:t>for</w:t>
      </w:r>
      <w:r w:rsidRPr="00934343">
        <w:rPr>
          <w:rFonts w:asciiTheme="minorHAnsi" w:hAnsiTheme="minorHAnsi"/>
          <w:sz w:val="22"/>
          <w:szCs w:val="22"/>
        </w:rPr>
        <w:t xml:space="preserve"> driftsherre og myndighed</w:t>
      </w:r>
    </w:p>
    <w:p w:rsidR="006C11AD" w:rsidRPr="00934343" w:rsidRDefault="00D5332B" w:rsidP="00D5332B">
      <w:pPr>
        <w:pStyle w:val="Default"/>
        <w:numPr>
          <w:ilvl w:val="0"/>
          <w:numId w:val="2"/>
        </w:numPr>
        <w:spacing w:after="50"/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>Retvisende og omkostningsbaserede takster – ydelser skal kunne sammenlignes, og priser udregnes efter samme principper</w:t>
      </w:r>
    </w:p>
    <w:p w:rsidR="006C11AD" w:rsidRPr="00934343" w:rsidRDefault="00D5332B" w:rsidP="00D5332B">
      <w:pPr>
        <w:pStyle w:val="Default"/>
        <w:numPr>
          <w:ilvl w:val="0"/>
          <w:numId w:val="2"/>
        </w:numPr>
        <w:spacing w:after="50"/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>Budgetsikkerhed for kommunerne og regionen – risiko for uforudsete udsving i økonomien skal dækkes ind</w:t>
      </w:r>
    </w:p>
    <w:p w:rsidR="00B468D7" w:rsidRPr="00934343" w:rsidRDefault="00D5332B" w:rsidP="00D5332B">
      <w:pPr>
        <w:pStyle w:val="Default"/>
        <w:numPr>
          <w:ilvl w:val="0"/>
          <w:numId w:val="2"/>
        </w:numPr>
        <w:spacing w:after="50"/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>Udviklingstiltag – driftsherre skal sikre</w:t>
      </w:r>
      <w:r w:rsidR="006C11AD" w:rsidRPr="00934343">
        <w:rPr>
          <w:rFonts w:asciiTheme="minorHAnsi" w:hAnsiTheme="minorHAnsi"/>
          <w:sz w:val="22"/>
          <w:szCs w:val="22"/>
        </w:rPr>
        <w:t>s</w:t>
      </w:r>
      <w:r w:rsidRPr="00934343">
        <w:rPr>
          <w:rFonts w:asciiTheme="minorHAnsi" w:hAnsiTheme="minorHAnsi"/>
          <w:sz w:val="22"/>
          <w:szCs w:val="22"/>
        </w:rPr>
        <w:t xml:space="preserve"> finansiel mulighed for løbende udvikling.</w:t>
      </w:r>
    </w:p>
    <w:p w:rsidR="006844B2" w:rsidRPr="00934343" w:rsidRDefault="006844B2" w:rsidP="00B468D7">
      <w:pPr>
        <w:pStyle w:val="Default"/>
        <w:rPr>
          <w:rFonts w:asciiTheme="minorHAnsi" w:hAnsiTheme="minorHAnsi"/>
          <w:sz w:val="22"/>
          <w:szCs w:val="22"/>
        </w:rPr>
      </w:pPr>
    </w:p>
    <w:p w:rsidR="00E07C5B" w:rsidRPr="00934343" w:rsidRDefault="00D1214F" w:rsidP="00B468D7">
      <w:pPr>
        <w:pStyle w:val="Default"/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>Styringsaftalen for 201</w:t>
      </w:r>
      <w:r w:rsidR="00296807" w:rsidRPr="00934343">
        <w:rPr>
          <w:rFonts w:asciiTheme="minorHAnsi" w:hAnsiTheme="minorHAnsi"/>
          <w:sz w:val="22"/>
          <w:szCs w:val="22"/>
        </w:rPr>
        <w:t>5</w:t>
      </w:r>
      <w:r w:rsidRPr="00934343">
        <w:rPr>
          <w:rFonts w:asciiTheme="minorHAnsi" w:hAnsiTheme="minorHAnsi"/>
          <w:sz w:val="22"/>
          <w:szCs w:val="22"/>
        </w:rPr>
        <w:t xml:space="preserve"> er indholdsmæssigt </w:t>
      </w:r>
      <w:r w:rsidR="00E07C5B" w:rsidRPr="00934343">
        <w:rPr>
          <w:rFonts w:asciiTheme="minorHAnsi" w:hAnsiTheme="minorHAnsi"/>
          <w:sz w:val="22"/>
          <w:szCs w:val="22"/>
        </w:rPr>
        <w:t>stort set identisk med de forrige års aftaler</w:t>
      </w:r>
      <w:r w:rsidR="00934343">
        <w:rPr>
          <w:rFonts w:asciiTheme="minorHAnsi" w:hAnsiTheme="minorHAnsi"/>
          <w:sz w:val="22"/>
          <w:szCs w:val="22"/>
        </w:rPr>
        <w:t xml:space="preserve">, </w:t>
      </w:r>
      <w:r w:rsidR="00896B0D">
        <w:rPr>
          <w:rFonts w:asciiTheme="minorHAnsi" w:hAnsiTheme="minorHAnsi"/>
          <w:sz w:val="22"/>
          <w:szCs w:val="22"/>
        </w:rPr>
        <w:t xml:space="preserve">dog kan </w:t>
      </w:r>
      <w:r w:rsidR="00934343">
        <w:rPr>
          <w:rFonts w:asciiTheme="minorHAnsi" w:hAnsiTheme="minorHAnsi"/>
          <w:sz w:val="22"/>
          <w:szCs w:val="22"/>
        </w:rPr>
        <w:t>følgende</w:t>
      </w:r>
      <w:r w:rsidR="00411D18" w:rsidRPr="00934343">
        <w:rPr>
          <w:rFonts w:asciiTheme="minorHAnsi" w:hAnsiTheme="minorHAnsi"/>
          <w:sz w:val="22"/>
          <w:szCs w:val="22"/>
        </w:rPr>
        <w:t xml:space="preserve"> nye </w:t>
      </w:r>
      <w:r w:rsidR="00933F74" w:rsidRPr="00934343">
        <w:rPr>
          <w:rFonts w:asciiTheme="minorHAnsi" w:hAnsiTheme="minorHAnsi"/>
          <w:sz w:val="22"/>
          <w:szCs w:val="22"/>
        </w:rPr>
        <w:t>forhold</w:t>
      </w:r>
      <w:r w:rsidR="00411D18" w:rsidRPr="00934343">
        <w:rPr>
          <w:rFonts w:asciiTheme="minorHAnsi" w:hAnsiTheme="minorHAnsi"/>
          <w:sz w:val="22"/>
          <w:szCs w:val="22"/>
        </w:rPr>
        <w:t xml:space="preserve"> fremhæves</w:t>
      </w:r>
      <w:r w:rsidR="00E07C5B" w:rsidRPr="00934343">
        <w:rPr>
          <w:rFonts w:asciiTheme="minorHAnsi" w:hAnsiTheme="minorHAnsi"/>
          <w:sz w:val="22"/>
          <w:szCs w:val="22"/>
        </w:rPr>
        <w:t xml:space="preserve">: </w:t>
      </w:r>
      <w:r w:rsidR="005038FC" w:rsidRPr="00934343">
        <w:rPr>
          <w:rFonts w:asciiTheme="minorHAnsi" w:hAnsiTheme="minorHAnsi"/>
          <w:sz w:val="22"/>
          <w:szCs w:val="22"/>
        </w:rPr>
        <w:br/>
      </w:r>
    </w:p>
    <w:p w:rsidR="00054A31" w:rsidRPr="00934343" w:rsidRDefault="00411D18" w:rsidP="005038FC">
      <w:pPr>
        <w:pStyle w:val="Tekst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>Indarbejdelse af et nyt lovgivningsfastsat regelsæt</w:t>
      </w:r>
      <w:r w:rsidR="00CA1DAC" w:rsidRPr="00934343">
        <w:rPr>
          <w:rFonts w:asciiTheme="minorHAnsi" w:hAnsiTheme="minorHAnsi"/>
          <w:sz w:val="22"/>
          <w:szCs w:val="22"/>
        </w:rPr>
        <w:t xml:space="preserve"> </w:t>
      </w:r>
      <w:r w:rsidR="00A02593" w:rsidRPr="00934343">
        <w:rPr>
          <w:rFonts w:asciiTheme="minorHAnsi" w:hAnsiTheme="minorHAnsi"/>
          <w:sz w:val="22"/>
          <w:szCs w:val="22"/>
        </w:rPr>
        <w:t>for</w:t>
      </w:r>
      <w:r w:rsidR="00CA1DAC" w:rsidRPr="00934343">
        <w:rPr>
          <w:rFonts w:asciiTheme="minorHAnsi" w:hAnsiTheme="minorHAnsi"/>
          <w:sz w:val="22"/>
          <w:szCs w:val="22"/>
        </w:rPr>
        <w:t xml:space="preserve"> kommunernes mulighed for at overtage </w:t>
      </w:r>
      <w:r w:rsidR="00A02593" w:rsidRPr="00934343">
        <w:rPr>
          <w:rFonts w:asciiTheme="minorHAnsi" w:hAnsiTheme="minorHAnsi"/>
          <w:sz w:val="22"/>
          <w:szCs w:val="22"/>
        </w:rPr>
        <w:t xml:space="preserve">sociale </w:t>
      </w:r>
      <w:r w:rsidR="00CA1DAC" w:rsidRPr="00934343">
        <w:rPr>
          <w:rFonts w:asciiTheme="minorHAnsi" w:hAnsiTheme="minorHAnsi"/>
          <w:sz w:val="22"/>
          <w:szCs w:val="22"/>
        </w:rPr>
        <w:t>tilbud</w:t>
      </w:r>
      <w:r w:rsidR="00A02593" w:rsidRPr="00934343">
        <w:rPr>
          <w:rFonts w:asciiTheme="minorHAnsi" w:hAnsiTheme="minorHAnsi"/>
          <w:sz w:val="22"/>
          <w:szCs w:val="22"/>
        </w:rPr>
        <w:t xml:space="preserve"> eller undervisningstilbud, som drives af Region</w:t>
      </w:r>
      <w:r w:rsidR="008B7E79" w:rsidRPr="00934343">
        <w:rPr>
          <w:rFonts w:asciiTheme="minorHAnsi" w:hAnsiTheme="minorHAnsi"/>
          <w:sz w:val="22"/>
          <w:szCs w:val="22"/>
        </w:rPr>
        <w:t xml:space="preserve"> Nordjylland.</w:t>
      </w:r>
      <w:r w:rsidR="00A02593" w:rsidRPr="00934343">
        <w:rPr>
          <w:rFonts w:asciiTheme="minorHAnsi" w:hAnsiTheme="minorHAnsi"/>
          <w:sz w:val="22"/>
          <w:szCs w:val="22"/>
        </w:rPr>
        <w:t xml:space="preserve"> </w:t>
      </w:r>
      <w:r w:rsidR="00054A31" w:rsidRPr="00934343">
        <w:rPr>
          <w:rFonts w:asciiTheme="minorHAnsi" w:hAnsiTheme="minorHAnsi"/>
          <w:sz w:val="22"/>
          <w:szCs w:val="22"/>
        </w:rPr>
        <w:t xml:space="preserve">Kommunerne </w:t>
      </w:r>
      <w:r w:rsidR="005038FC" w:rsidRPr="00934343">
        <w:rPr>
          <w:rFonts w:asciiTheme="minorHAnsi" w:hAnsiTheme="minorHAnsi"/>
          <w:sz w:val="22"/>
          <w:szCs w:val="22"/>
        </w:rPr>
        <w:t xml:space="preserve">har hidtil </w:t>
      </w:r>
      <w:r w:rsidR="00A02593" w:rsidRPr="00934343">
        <w:rPr>
          <w:rFonts w:asciiTheme="minorHAnsi" w:hAnsiTheme="minorHAnsi"/>
          <w:sz w:val="22"/>
          <w:szCs w:val="22"/>
        </w:rPr>
        <w:t xml:space="preserve">kunnet overtage regionale tilbud hvert år, men denne mulighed </w:t>
      </w:r>
      <w:r w:rsidR="00054A31" w:rsidRPr="00934343">
        <w:rPr>
          <w:rFonts w:asciiTheme="minorHAnsi" w:hAnsiTheme="minorHAnsi"/>
          <w:sz w:val="22"/>
          <w:szCs w:val="22"/>
        </w:rPr>
        <w:t xml:space="preserve">er blevet </w:t>
      </w:r>
      <w:r w:rsidR="005F11B2">
        <w:rPr>
          <w:rFonts w:asciiTheme="minorHAnsi" w:hAnsiTheme="minorHAnsi"/>
          <w:sz w:val="22"/>
          <w:szCs w:val="22"/>
        </w:rPr>
        <w:t>ændret</w:t>
      </w:r>
      <w:r w:rsidR="00054A31" w:rsidRPr="00934343">
        <w:rPr>
          <w:rFonts w:asciiTheme="minorHAnsi" w:hAnsiTheme="minorHAnsi"/>
          <w:sz w:val="22"/>
          <w:szCs w:val="22"/>
        </w:rPr>
        <w:t xml:space="preserve">, så man fremover kun kan </w:t>
      </w:r>
      <w:r w:rsidR="00A02593" w:rsidRPr="00934343">
        <w:rPr>
          <w:rFonts w:asciiTheme="minorHAnsi" w:hAnsiTheme="minorHAnsi"/>
          <w:sz w:val="22"/>
          <w:szCs w:val="22"/>
        </w:rPr>
        <w:t xml:space="preserve">overtage </w:t>
      </w:r>
      <w:r w:rsidR="00054A31" w:rsidRPr="00934343">
        <w:rPr>
          <w:rFonts w:asciiTheme="minorHAnsi" w:hAnsiTheme="minorHAnsi"/>
          <w:sz w:val="22"/>
          <w:szCs w:val="22"/>
        </w:rPr>
        <w:t xml:space="preserve">regionale </w:t>
      </w:r>
      <w:r w:rsidR="00A02593" w:rsidRPr="00934343">
        <w:rPr>
          <w:rFonts w:asciiTheme="minorHAnsi" w:hAnsiTheme="minorHAnsi"/>
          <w:sz w:val="22"/>
          <w:szCs w:val="22"/>
        </w:rPr>
        <w:t>tilbud</w:t>
      </w:r>
      <w:r w:rsidR="00054A31" w:rsidRPr="00934343">
        <w:rPr>
          <w:rFonts w:asciiTheme="minorHAnsi" w:hAnsiTheme="minorHAnsi"/>
          <w:sz w:val="22"/>
          <w:szCs w:val="22"/>
        </w:rPr>
        <w:t xml:space="preserve"> </w:t>
      </w:r>
      <w:r w:rsidR="008B7E79" w:rsidRPr="00934343">
        <w:rPr>
          <w:rFonts w:asciiTheme="minorHAnsi" w:hAnsiTheme="minorHAnsi"/>
          <w:sz w:val="22"/>
          <w:szCs w:val="22"/>
        </w:rPr>
        <w:t>én gang i hver valgperiode. Det betyder konkret, at</w:t>
      </w:r>
      <w:r w:rsidR="00934343" w:rsidRPr="00934343">
        <w:rPr>
          <w:rFonts w:asciiTheme="minorHAnsi" w:hAnsiTheme="minorHAnsi"/>
          <w:sz w:val="22"/>
          <w:szCs w:val="22"/>
        </w:rPr>
        <w:t xml:space="preserve"> </w:t>
      </w:r>
      <w:r w:rsidR="008B7E79" w:rsidRPr="00934343">
        <w:rPr>
          <w:rFonts w:asciiTheme="minorHAnsi" w:hAnsiTheme="minorHAnsi"/>
          <w:sz w:val="22"/>
          <w:szCs w:val="22"/>
        </w:rPr>
        <w:t>det</w:t>
      </w:r>
      <w:r w:rsidR="00934343" w:rsidRPr="00934343">
        <w:rPr>
          <w:rFonts w:asciiTheme="minorHAnsi" w:hAnsiTheme="minorHAnsi"/>
          <w:sz w:val="22"/>
          <w:szCs w:val="22"/>
        </w:rPr>
        <w:t xml:space="preserve"> skal fremgå</w:t>
      </w:r>
      <w:r w:rsidR="008B7E79" w:rsidRPr="00934343">
        <w:rPr>
          <w:rFonts w:asciiTheme="minorHAnsi" w:hAnsiTheme="minorHAnsi"/>
          <w:sz w:val="22"/>
          <w:szCs w:val="22"/>
        </w:rPr>
        <w:t xml:space="preserve"> </w:t>
      </w:r>
      <w:r w:rsidR="00934343" w:rsidRPr="00934343">
        <w:rPr>
          <w:rFonts w:asciiTheme="minorHAnsi" w:hAnsiTheme="minorHAnsi"/>
          <w:sz w:val="22"/>
          <w:szCs w:val="22"/>
        </w:rPr>
        <w:t xml:space="preserve">af næste </w:t>
      </w:r>
      <w:r w:rsidR="008B7E79" w:rsidRPr="00934343">
        <w:rPr>
          <w:rFonts w:asciiTheme="minorHAnsi" w:hAnsiTheme="minorHAnsi"/>
          <w:sz w:val="22"/>
          <w:szCs w:val="22"/>
        </w:rPr>
        <w:t>rammeaftale (aftalen for 2016), hvis</w:t>
      </w:r>
      <w:r w:rsidR="00934343" w:rsidRPr="00934343">
        <w:rPr>
          <w:rFonts w:asciiTheme="minorHAnsi" w:hAnsiTheme="minorHAnsi"/>
          <w:sz w:val="22"/>
          <w:szCs w:val="22"/>
        </w:rPr>
        <w:t xml:space="preserve"> en</w:t>
      </w:r>
      <w:r w:rsidR="008B7E79" w:rsidRPr="00934343">
        <w:rPr>
          <w:rFonts w:asciiTheme="minorHAnsi" w:hAnsiTheme="minorHAnsi"/>
          <w:sz w:val="22"/>
          <w:szCs w:val="22"/>
        </w:rPr>
        <w:t xml:space="preserve"> kommunalbestyrelse ønsker at overtage et regionalt tilbud</w:t>
      </w:r>
      <w:r w:rsidR="009B0F5A">
        <w:rPr>
          <w:rFonts w:asciiTheme="minorHAnsi" w:hAnsiTheme="minorHAnsi"/>
          <w:sz w:val="22"/>
          <w:szCs w:val="22"/>
        </w:rPr>
        <w:t xml:space="preserve"> i indeværende valgperiode</w:t>
      </w:r>
      <w:r w:rsidR="008B7E79" w:rsidRPr="00934343">
        <w:rPr>
          <w:rFonts w:asciiTheme="minorHAnsi" w:hAnsiTheme="minorHAnsi"/>
          <w:sz w:val="22"/>
          <w:szCs w:val="22"/>
        </w:rPr>
        <w:t>.</w:t>
      </w:r>
      <w:r w:rsidR="008B7E79" w:rsidRPr="00934343">
        <w:rPr>
          <w:rFonts w:asciiTheme="minorHAnsi" w:hAnsiTheme="minorHAnsi"/>
          <w:sz w:val="22"/>
          <w:szCs w:val="22"/>
        </w:rPr>
        <w:br/>
        <w:t xml:space="preserve"> </w:t>
      </w:r>
    </w:p>
    <w:p w:rsidR="005038FC" w:rsidRPr="00934343" w:rsidRDefault="009A2088" w:rsidP="005038FC">
      <w:pPr>
        <w:pStyle w:val="Tekst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 xml:space="preserve">Fokus på </w:t>
      </w:r>
      <w:r w:rsidR="00411D18" w:rsidRPr="00934343">
        <w:rPr>
          <w:rFonts w:asciiTheme="minorHAnsi" w:hAnsiTheme="minorHAnsi"/>
          <w:sz w:val="22"/>
          <w:szCs w:val="22"/>
        </w:rPr>
        <w:t xml:space="preserve">at skabe bedre økonomiske incitamenter </w:t>
      </w:r>
      <w:r w:rsidRPr="00934343">
        <w:rPr>
          <w:rFonts w:asciiTheme="minorHAnsi" w:hAnsiTheme="minorHAnsi"/>
          <w:sz w:val="22"/>
          <w:szCs w:val="22"/>
        </w:rPr>
        <w:t xml:space="preserve">til </w:t>
      </w:r>
      <w:r w:rsidR="00411D18" w:rsidRPr="00934343">
        <w:rPr>
          <w:rFonts w:asciiTheme="minorHAnsi" w:hAnsiTheme="minorHAnsi"/>
          <w:sz w:val="22"/>
          <w:szCs w:val="22"/>
        </w:rPr>
        <w:t>etablering af nye højt specialiserede tilbud</w:t>
      </w:r>
      <w:r w:rsidRPr="00934343">
        <w:rPr>
          <w:rFonts w:asciiTheme="minorHAnsi" w:hAnsiTheme="minorHAnsi"/>
          <w:sz w:val="22"/>
          <w:szCs w:val="22"/>
        </w:rPr>
        <w:t>. Det foreslås i afta</w:t>
      </w:r>
      <w:r w:rsidR="005038FC" w:rsidRPr="00934343">
        <w:rPr>
          <w:rFonts w:asciiTheme="minorHAnsi" w:hAnsiTheme="minorHAnsi"/>
          <w:sz w:val="22"/>
          <w:szCs w:val="22"/>
        </w:rPr>
        <w:t xml:space="preserve">len, at kommunerne </w:t>
      </w:r>
      <w:r w:rsidR="00896B0D">
        <w:rPr>
          <w:rFonts w:asciiTheme="minorHAnsi" w:hAnsiTheme="minorHAnsi"/>
          <w:sz w:val="22"/>
          <w:szCs w:val="22"/>
        </w:rPr>
        <w:t xml:space="preserve">i fællesskab </w:t>
      </w:r>
      <w:r w:rsidR="005038FC" w:rsidRPr="00934343">
        <w:rPr>
          <w:rFonts w:asciiTheme="minorHAnsi" w:hAnsiTheme="minorHAnsi"/>
          <w:sz w:val="22"/>
          <w:szCs w:val="22"/>
        </w:rPr>
        <w:t xml:space="preserve">skal afsøge </w:t>
      </w:r>
      <w:r w:rsidRPr="00934343">
        <w:rPr>
          <w:rFonts w:asciiTheme="minorHAnsi" w:hAnsiTheme="minorHAnsi"/>
          <w:sz w:val="22"/>
          <w:szCs w:val="22"/>
        </w:rPr>
        <w:t xml:space="preserve">de lovgivningsmæssige muligheder for at </w:t>
      </w:r>
      <w:r w:rsidR="005038FC" w:rsidRPr="00934343">
        <w:rPr>
          <w:rFonts w:asciiTheme="minorHAnsi" w:hAnsiTheme="minorHAnsi"/>
          <w:sz w:val="22"/>
          <w:szCs w:val="22"/>
        </w:rPr>
        <w:t xml:space="preserve">finansiere </w:t>
      </w:r>
      <w:r w:rsidR="00896B0D">
        <w:rPr>
          <w:rFonts w:asciiTheme="minorHAnsi" w:hAnsiTheme="minorHAnsi"/>
          <w:sz w:val="22"/>
          <w:szCs w:val="22"/>
        </w:rPr>
        <w:t xml:space="preserve">nye </w:t>
      </w:r>
      <w:r w:rsidR="005038FC" w:rsidRPr="00934343">
        <w:rPr>
          <w:rFonts w:asciiTheme="minorHAnsi" w:hAnsiTheme="minorHAnsi"/>
          <w:sz w:val="22"/>
          <w:szCs w:val="22"/>
        </w:rPr>
        <w:t xml:space="preserve">tilbud gennem mere fleksible aftaleformer. Formålet er at </w:t>
      </w:r>
      <w:r w:rsidRPr="00934343">
        <w:rPr>
          <w:rFonts w:asciiTheme="minorHAnsi" w:hAnsiTheme="minorHAnsi"/>
          <w:sz w:val="22"/>
          <w:szCs w:val="22"/>
        </w:rPr>
        <w:t>lette den finansielle risiko, som påhviler driftsherre ved udviklingen og etableringen af nye højt specialiserede tilbud</w:t>
      </w:r>
      <w:r w:rsidR="005038FC" w:rsidRPr="00934343">
        <w:rPr>
          <w:rFonts w:asciiTheme="minorHAnsi" w:hAnsiTheme="minorHAnsi"/>
          <w:sz w:val="22"/>
          <w:szCs w:val="22"/>
        </w:rPr>
        <w:t xml:space="preserve">, </w:t>
      </w:r>
      <w:r w:rsidR="009B0F5A">
        <w:rPr>
          <w:rFonts w:asciiTheme="minorHAnsi" w:hAnsiTheme="minorHAnsi"/>
          <w:sz w:val="22"/>
          <w:szCs w:val="22"/>
        </w:rPr>
        <w:t>idet</w:t>
      </w:r>
      <w:r w:rsidR="005038FC" w:rsidRPr="00934343">
        <w:rPr>
          <w:rFonts w:asciiTheme="minorHAnsi" w:hAnsiTheme="minorHAnsi"/>
          <w:sz w:val="22"/>
          <w:szCs w:val="22"/>
        </w:rPr>
        <w:t xml:space="preserve"> d</w:t>
      </w:r>
      <w:r w:rsidRPr="00934343">
        <w:rPr>
          <w:rFonts w:asciiTheme="minorHAnsi" w:hAnsiTheme="minorHAnsi"/>
          <w:sz w:val="22"/>
          <w:szCs w:val="22"/>
        </w:rPr>
        <w:t xml:space="preserve">enne risiko </w:t>
      </w:r>
      <w:r w:rsidR="005038FC" w:rsidRPr="00934343">
        <w:rPr>
          <w:rFonts w:asciiTheme="minorHAnsi" w:hAnsiTheme="minorHAnsi"/>
          <w:sz w:val="22"/>
          <w:szCs w:val="22"/>
        </w:rPr>
        <w:t xml:space="preserve">er </w:t>
      </w:r>
      <w:r w:rsidRPr="00934343">
        <w:rPr>
          <w:rFonts w:asciiTheme="minorHAnsi" w:hAnsiTheme="minorHAnsi"/>
          <w:sz w:val="22"/>
          <w:szCs w:val="22"/>
        </w:rPr>
        <w:t xml:space="preserve">én af de væsentligste barrierer for etableringen af nye </w:t>
      </w:r>
      <w:r w:rsidR="009B0F5A">
        <w:rPr>
          <w:rFonts w:asciiTheme="minorHAnsi" w:hAnsiTheme="minorHAnsi"/>
          <w:sz w:val="22"/>
          <w:szCs w:val="22"/>
        </w:rPr>
        <w:t xml:space="preserve">højt specialiserede </w:t>
      </w:r>
      <w:r w:rsidRPr="00934343">
        <w:rPr>
          <w:rFonts w:asciiTheme="minorHAnsi" w:hAnsiTheme="minorHAnsi"/>
          <w:sz w:val="22"/>
          <w:szCs w:val="22"/>
        </w:rPr>
        <w:t>tilbud</w:t>
      </w:r>
      <w:r w:rsidR="005038FC" w:rsidRPr="00934343">
        <w:rPr>
          <w:rFonts w:asciiTheme="minorHAnsi" w:hAnsiTheme="minorHAnsi"/>
          <w:sz w:val="22"/>
          <w:szCs w:val="22"/>
        </w:rPr>
        <w:t>.</w:t>
      </w:r>
    </w:p>
    <w:p w:rsidR="009A2088" w:rsidRPr="00934343" w:rsidRDefault="009A2088" w:rsidP="00CA2A47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CA2A47" w:rsidRPr="00934343" w:rsidRDefault="00CA2A47" w:rsidP="00CA2A47">
      <w:pPr>
        <w:pStyle w:val="Default"/>
        <w:rPr>
          <w:rFonts w:asciiTheme="minorHAnsi" w:hAnsiTheme="minorHAnsi"/>
          <w:b/>
          <w:sz w:val="22"/>
          <w:szCs w:val="22"/>
        </w:rPr>
      </w:pPr>
      <w:r w:rsidRPr="00934343">
        <w:rPr>
          <w:rFonts w:asciiTheme="minorHAnsi" w:hAnsiTheme="minorHAnsi"/>
          <w:b/>
          <w:sz w:val="22"/>
          <w:szCs w:val="22"/>
        </w:rPr>
        <w:t>Lovgivning:</w:t>
      </w:r>
    </w:p>
    <w:p w:rsidR="00CA2A47" w:rsidRPr="00934343" w:rsidRDefault="00CA2A47" w:rsidP="00CA2A47">
      <w:pPr>
        <w:pStyle w:val="Default"/>
        <w:rPr>
          <w:rFonts w:asciiTheme="minorHAnsi" w:hAnsiTheme="minorHAnsi"/>
          <w:sz w:val="22"/>
          <w:szCs w:val="22"/>
        </w:rPr>
      </w:pPr>
    </w:p>
    <w:p w:rsidR="00D525E6" w:rsidRPr="00934343" w:rsidRDefault="00CA2A47" w:rsidP="00CA2A47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 xml:space="preserve">Lov om </w:t>
      </w:r>
      <w:r w:rsidR="00017ABD" w:rsidRPr="00934343">
        <w:rPr>
          <w:rFonts w:asciiTheme="minorHAnsi" w:hAnsiTheme="minorHAnsi"/>
          <w:sz w:val="22"/>
          <w:szCs w:val="22"/>
        </w:rPr>
        <w:t>s</w:t>
      </w:r>
      <w:r w:rsidRPr="00934343">
        <w:rPr>
          <w:rFonts w:asciiTheme="minorHAnsi" w:hAnsiTheme="minorHAnsi"/>
          <w:sz w:val="22"/>
          <w:szCs w:val="22"/>
        </w:rPr>
        <w:t xml:space="preserve">ocial </w:t>
      </w:r>
      <w:r w:rsidR="00017ABD" w:rsidRPr="00934343">
        <w:rPr>
          <w:rFonts w:asciiTheme="minorHAnsi" w:hAnsiTheme="minorHAnsi"/>
          <w:sz w:val="22"/>
          <w:szCs w:val="22"/>
        </w:rPr>
        <w:t>s</w:t>
      </w:r>
      <w:r w:rsidRPr="00934343">
        <w:rPr>
          <w:rFonts w:asciiTheme="minorHAnsi" w:hAnsiTheme="minorHAnsi"/>
          <w:sz w:val="22"/>
          <w:szCs w:val="22"/>
        </w:rPr>
        <w:t>ervice § 6 (</w:t>
      </w:r>
      <w:r w:rsidR="00296807" w:rsidRPr="00934343">
        <w:rPr>
          <w:rFonts w:asciiTheme="minorHAnsi" w:hAnsiTheme="minorHAnsi"/>
          <w:sz w:val="22"/>
          <w:szCs w:val="22"/>
        </w:rPr>
        <w:t>LBK nr</w:t>
      </w:r>
      <w:r w:rsidR="00411D18" w:rsidRPr="00934343">
        <w:rPr>
          <w:rFonts w:asciiTheme="minorHAnsi" w:hAnsiTheme="minorHAnsi"/>
          <w:sz w:val="22"/>
          <w:szCs w:val="22"/>
        </w:rPr>
        <w:t>.</w:t>
      </w:r>
      <w:r w:rsidR="00296807" w:rsidRPr="00934343">
        <w:rPr>
          <w:rFonts w:asciiTheme="minorHAnsi" w:hAnsiTheme="minorHAnsi"/>
          <w:sz w:val="22"/>
          <w:szCs w:val="22"/>
        </w:rPr>
        <w:t xml:space="preserve"> 254 af 20/03/2014</w:t>
      </w:r>
      <w:r w:rsidRPr="00934343">
        <w:rPr>
          <w:rFonts w:asciiTheme="minorHAnsi" w:hAnsiTheme="minorHAnsi"/>
          <w:sz w:val="22"/>
          <w:szCs w:val="22"/>
        </w:rPr>
        <w:t>)</w:t>
      </w:r>
    </w:p>
    <w:p w:rsidR="00D525E6" w:rsidRPr="00934343" w:rsidRDefault="00D525E6" w:rsidP="00D525E6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 xml:space="preserve">Lov om </w:t>
      </w:r>
      <w:r w:rsidR="00017ABD" w:rsidRPr="00934343">
        <w:rPr>
          <w:rFonts w:asciiTheme="minorHAnsi" w:hAnsiTheme="minorHAnsi"/>
          <w:sz w:val="22"/>
          <w:szCs w:val="22"/>
        </w:rPr>
        <w:t>f</w:t>
      </w:r>
      <w:r w:rsidRPr="00934343">
        <w:rPr>
          <w:rFonts w:asciiTheme="minorHAnsi" w:hAnsiTheme="minorHAnsi"/>
          <w:sz w:val="22"/>
          <w:szCs w:val="22"/>
        </w:rPr>
        <w:t>olkeskolen § 47 (</w:t>
      </w:r>
      <w:r w:rsidR="00296807" w:rsidRPr="00934343">
        <w:rPr>
          <w:rFonts w:asciiTheme="minorHAnsi" w:hAnsiTheme="minorHAnsi"/>
          <w:sz w:val="22"/>
          <w:szCs w:val="22"/>
        </w:rPr>
        <w:t>LBK nr</w:t>
      </w:r>
      <w:r w:rsidR="00411D18" w:rsidRPr="00934343">
        <w:rPr>
          <w:rFonts w:asciiTheme="minorHAnsi" w:hAnsiTheme="minorHAnsi"/>
          <w:sz w:val="22"/>
          <w:szCs w:val="22"/>
        </w:rPr>
        <w:t>.</w:t>
      </w:r>
      <w:r w:rsidR="00296807" w:rsidRPr="00934343">
        <w:rPr>
          <w:rFonts w:asciiTheme="minorHAnsi" w:hAnsiTheme="minorHAnsi"/>
          <w:sz w:val="22"/>
          <w:szCs w:val="22"/>
        </w:rPr>
        <w:t xml:space="preserve"> 665 af 20/06/2014</w:t>
      </w:r>
      <w:r w:rsidRPr="00934343">
        <w:rPr>
          <w:rFonts w:asciiTheme="minorHAnsi" w:hAnsiTheme="minorHAnsi"/>
          <w:sz w:val="22"/>
          <w:szCs w:val="22"/>
        </w:rPr>
        <w:t>)</w:t>
      </w:r>
    </w:p>
    <w:p w:rsidR="00D525E6" w:rsidRPr="00934343" w:rsidRDefault="00D525E6" w:rsidP="00D525E6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lastRenderedPageBreak/>
        <w:t xml:space="preserve">Lov om </w:t>
      </w:r>
      <w:r w:rsidR="00017ABD" w:rsidRPr="00934343">
        <w:rPr>
          <w:rFonts w:asciiTheme="minorHAnsi" w:hAnsiTheme="minorHAnsi"/>
          <w:sz w:val="22"/>
          <w:szCs w:val="22"/>
        </w:rPr>
        <w:t>s</w:t>
      </w:r>
      <w:r w:rsidRPr="00934343">
        <w:rPr>
          <w:rFonts w:asciiTheme="minorHAnsi" w:hAnsiTheme="minorHAnsi"/>
          <w:sz w:val="22"/>
          <w:szCs w:val="22"/>
        </w:rPr>
        <w:t xml:space="preserve">pecialundervisning for voksne § </w:t>
      </w:r>
      <w:r w:rsidR="00017ABD" w:rsidRPr="00934343">
        <w:rPr>
          <w:rFonts w:asciiTheme="minorHAnsi" w:hAnsiTheme="minorHAnsi"/>
          <w:sz w:val="22"/>
          <w:szCs w:val="22"/>
        </w:rPr>
        <w:t>6</w:t>
      </w:r>
      <w:r w:rsidRPr="00934343">
        <w:rPr>
          <w:rFonts w:asciiTheme="minorHAnsi" w:hAnsiTheme="minorHAnsi"/>
          <w:sz w:val="22"/>
          <w:szCs w:val="22"/>
        </w:rPr>
        <w:t xml:space="preserve"> </w:t>
      </w:r>
      <w:r w:rsidR="00017ABD" w:rsidRPr="00934343">
        <w:rPr>
          <w:rFonts w:asciiTheme="minorHAnsi" w:hAnsiTheme="minorHAnsi"/>
          <w:sz w:val="22"/>
          <w:szCs w:val="22"/>
        </w:rPr>
        <w:t>h</w:t>
      </w:r>
      <w:r w:rsidRPr="00934343">
        <w:rPr>
          <w:rFonts w:asciiTheme="minorHAnsi" w:hAnsiTheme="minorHAnsi"/>
          <w:sz w:val="22"/>
          <w:szCs w:val="22"/>
        </w:rPr>
        <w:t xml:space="preserve"> (</w:t>
      </w:r>
      <w:r w:rsidR="00017ABD" w:rsidRPr="00934343">
        <w:rPr>
          <w:rFonts w:asciiTheme="minorHAnsi" w:hAnsiTheme="minorHAnsi"/>
          <w:sz w:val="22"/>
          <w:szCs w:val="22"/>
        </w:rPr>
        <w:t>LOV nr 378 af 28/04/2012</w:t>
      </w:r>
      <w:r w:rsidRPr="00934343">
        <w:rPr>
          <w:rFonts w:asciiTheme="minorHAnsi" w:hAnsiTheme="minorHAnsi"/>
          <w:sz w:val="22"/>
          <w:szCs w:val="22"/>
        </w:rPr>
        <w:t>)</w:t>
      </w:r>
    </w:p>
    <w:p w:rsidR="00017ABD" w:rsidRPr="00934343" w:rsidRDefault="00017ABD" w:rsidP="00017ABD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>Bekendtgørelse om rammeaftaler m.v. på det sociale område og på det almene ældreboligområde (BEK nr. 1021 af 20/08/2013)</w:t>
      </w:r>
    </w:p>
    <w:p w:rsidR="002E5201" w:rsidRPr="00934343" w:rsidRDefault="002E5201" w:rsidP="002E5201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>Bekendtgørelse om rammeaftaler og udgifter ved de lands- og landsdelsdækkende undervisningstilbud m.v.</w:t>
      </w:r>
      <w:r w:rsidR="00017ABD" w:rsidRPr="00934343">
        <w:rPr>
          <w:rFonts w:asciiTheme="minorHAnsi" w:hAnsiTheme="minorHAnsi"/>
          <w:sz w:val="22"/>
          <w:szCs w:val="22"/>
        </w:rPr>
        <w:t xml:space="preserve"> (</w:t>
      </w:r>
      <w:r w:rsidRPr="00934343">
        <w:rPr>
          <w:rFonts w:asciiTheme="minorHAnsi" w:hAnsiTheme="minorHAnsi"/>
          <w:sz w:val="22"/>
          <w:szCs w:val="22"/>
        </w:rPr>
        <w:t>BEK nr 760 af 24/06/2014</w:t>
      </w:r>
      <w:r w:rsidR="00017ABD" w:rsidRPr="00934343">
        <w:rPr>
          <w:rFonts w:asciiTheme="minorHAnsi" w:hAnsiTheme="minorHAnsi"/>
          <w:sz w:val="22"/>
          <w:szCs w:val="22"/>
        </w:rPr>
        <w:t>)</w:t>
      </w:r>
    </w:p>
    <w:p w:rsidR="00CA2A47" w:rsidRPr="00934343" w:rsidRDefault="00CA2A47" w:rsidP="00CA2A47">
      <w:pPr>
        <w:pStyle w:val="Default"/>
        <w:rPr>
          <w:rFonts w:asciiTheme="minorHAnsi" w:hAnsiTheme="minorHAnsi"/>
          <w:sz w:val="22"/>
          <w:szCs w:val="22"/>
        </w:rPr>
      </w:pPr>
    </w:p>
    <w:p w:rsidR="00CA2A47" w:rsidRPr="00934343" w:rsidRDefault="00CA2A47" w:rsidP="00CA2A47">
      <w:pPr>
        <w:pStyle w:val="Default"/>
        <w:rPr>
          <w:rFonts w:asciiTheme="minorHAnsi" w:hAnsiTheme="minorHAnsi"/>
          <w:b/>
          <w:sz w:val="22"/>
          <w:szCs w:val="22"/>
        </w:rPr>
      </w:pPr>
      <w:r w:rsidRPr="00934343">
        <w:rPr>
          <w:rFonts w:asciiTheme="minorHAnsi" w:hAnsiTheme="minorHAnsi"/>
          <w:b/>
          <w:sz w:val="22"/>
          <w:szCs w:val="22"/>
        </w:rPr>
        <w:t>Indstilling:</w:t>
      </w:r>
    </w:p>
    <w:p w:rsidR="00D1214F" w:rsidRPr="00934343" w:rsidRDefault="00D1214F" w:rsidP="00CA2A47">
      <w:pPr>
        <w:pStyle w:val="Default"/>
        <w:rPr>
          <w:rFonts w:asciiTheme="minorHAnsi" w:hAnsiTheme="minorHAnsi"/>
          <w:sz w:val="22"/>
          <w:szCs w:val="22"/>
        </w:rPr>
      </w:pPr>
    </w:p>
    <w:p w:rsidR="00017ABD" w:rsidRPr="00934343" w:rsidRDefault="00CA2A47" w:rsidP="00017ABD">
      <w:pPr>
        <w:pStyle w:val="Default"/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>Det indstilles, at:</w:t>
      </w:r>
    </w:p>
    <w:p w:rsidR="00CA2A47" w:rsidRPr="00934343" w:rsidRDefault="00017ABD" w:rsidP="00017ABD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>U</w:t>
      </w:r>
      <w:r w:rsidR="00CA2A47" w:rsidRPr="00934343">
        <w:rPr>
          <w:rFonts w:asciiTheme="minorHAnsi" w:hAnsiTheme="minorHAnsi"/>
          <w:sz w:val="22"/>
          <w:szCs w:val="22"/>
        </w:rPr>
        <w:t>dkast til styringsaftale for 201</w:t>
      </w:r>
      <w:r w:rsidR="00296807" w:rsidRPr="00934343">
        <w:rPr>
          <w:rFonts w:asciiTheme="minorHAnsi" w:hAnsiTheme="minorHAnsi"/>
          <w:sz w:val="22"/>
          <w:szCs w:val="22"/>
        </w:rPr>
        <w:t>5</w:t>
      </w:r>
      <w:r w:rsidR="00CA2A47" w:rsidRPr="00934343">
        <w:rPr>
          <w:rFonts w:asciiTheme="minorHAnsi" w:hAnsiTheme="minorHAnsi"/>
          <w:sz w:val="22"/>
          <w:szCs w:val="22"/>
        </w:rPr>
        <w:t xml:space="preserve"> for specialundervisning og det specialiserede socialområde godkendes</w:t>
      </w:r>
    </w:p>
    <w:p w:rsidR="00017ABD" w:rsidRPr="00934343" w:rsidRDefault="00017ABD" w:rsidP="00017ABD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CA2A47" w:rsidRPr="00934343" w:rsidRDefault="00CA2A47" w:rsidP="00CA2A47">
      <w:pPr>
        <w:pStyle w:val="Default"/>
        <w:rPr>
          <w:rFonts w:asciiTheme="minorHAnsi" w:hAnsiTheme="minorHAnsi"/>
          <w:b/>
          <w:sz w:val="22"/>
          <w:szCs w:val="22"/>
        </w:rPr>
      </w:pPr>
      <w:r w:rsidRPr="00934343">
        <w:rPr>
          <w:rFonts w:asciiTheme="minorHAnsi" w:hAnsiTheme="minorHAnsi"/>
          <w:b/>
          <w:sz w:val="22"/>
          <w:szCs w:val="22"/>
        </w:rPr>
        <w:t>Bilag:</w:t>
      </w:r>
    </w:p>
    <w:p w:rsidR="00CA2A47" w:rsidRPr="00934343" w:rsidRDefault="00972F9B" w:rsidP="00017AB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Udkast til styringsaftale 2015</w:t>
      </w:r>
      <w:r w:rsidR="00CA2A47" w:rsidRPr="00934343">
        <w:rPr>
          <w:rFonts w:asciiTheme="minorHAnsi" w:hAnsiTheme="minorHAnsi"/>
          <w:sz w:val="22"/>
          <w:szCs w:val="22"/>
        </w:rPr>
        <w:t xml:space="preserve"> for specialundervisning og det specialiserede socialområde</w:t>
      </w:r>
    </w:p>
    <w:p w:rsidR="00CA2A47" w:rsidRPr="00934343" w:rsidRDefault="00CA2A47" w:rsidP="00017AB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 xml:space="preserve">Styringsaftalens bilag 1: Teknisk specifikation til aftalen </w:t>
      </w:r>
    </w:p>
    <w:p w:rsidR="00CA2A47" w:rsidRPr="00934343" w:rsidRDefault="00CA2A47" w:rsidP="00017AB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 xml:space="preserve">Styringsaftalens bilag 2: Specifikke aftalevilkår for </w:t>
      </w:r>
      <w:r w:rsidR="00296807" w:rsidRPr="00934343">
        <w:rPr>
          <w:rFonts w:asciiTheme="minorHAnsi" w:hAnsiTheme="minorHAnsi"/>
          <w:sz w:val="22"/>
          <w:szCs w:val="22"/>
        </w:rPr>
        <w:t xml:space="preserve">de regionale </w:t>
      </w:r>
      <w:r w:rsidRPr="00934343">
        <w:rPr>
          <w:rFonts w:asciiTheme="minorHAnsi" w:hAnsiTheme="minorHAnsi"/>
          <w:sz w:val="22"/>
          <w:szCs w:val="22"/>
        </w:rPr>
        <w:t>undervisningstilbu</w:t>
      </w:r>
      <w:r w:rsidR="006C3690" w:rsidRPr="00934343">
        <w:rPr>
          <w:rFonts w:asciiTheme="minorHAnsi" w:hAnsiTheme="minorHAnsi"/>
          <w:sz w:val="22"/>
          <w:szCs w:val="22"/>
        </w:rPr>
        <w:t>d</w:t>
      </w:r>
    </w:p>
    <w:p w:rsidR="00B66849" w:rsidRPr="00934343" w:rsidRDefault="00CA2A47" w:rsidP="00017ABD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934343">
        <w:rPr>
          <w:rFonts w:asciiTheme="minorHAnsi" w:hAnsiTheme="minorHAnsi"/>
          <w:sz w:val="22"/>
          <w:szCs w:val="22"/>
        </w:rPr>
        <w:t>Styringsaftalens bilag 3: Finansierings</w:t>
      </w:r>
      <w:r w:rsidR="00241960" w:rsidRPr="00934343">
        <w:rPr>
          <w:rFonts w:asciiTheme="minorHAnsi" w:hAnsiTheme="minorHAnsi"/>
          <w:sz w:val="22"/>
          <w:szCs w:val="22"/>
        </w:rPr>
        <w:t>aftalen</w:t>
      </w:r>
      <w:r w:rsidRPr="00934343">
        <w:rPr>
          <w:rFonts w:asciiTheme="minorHAnsi" w:hAnsiTheme="minorHAnsi"/>
          <w:sz w:val="22"/>
          <w:szCs w:val="22"/>
        </w:rPr>
        <w:t xml:space="preserve"> for </w:t>
      </w:r>
      <w:r w:rsidR="00296807" w:rsidRPr="00934343">
        <w:rPr>
          <w:rFonts w:asciiTheme="minorHAnsi" w:hAnsiTheme="minorHAnsi"/>
          <w:sz w:val="22"/>
          <w:szCs w:val="22"/>
        </w:rPr>
        <w:t xml:space="preserve">2014 og 2015 for </w:t>
      </w:r>
      <w:r w:rsidRPr="00934343">
        <w:rPr>
          <w:rFonts w:asciiTheme="minorHAnsi" w:hAnsiTheme="minorHAnsi"/>
          <w:sz w:val="22"/>
          <w:szCs w:val="22"/>
        </w:rPr>
        <w:t>Taleinstituttets opgaveportefølje efter overdragelse til kommunal varetagelse</w:t>
      </w:r>
    </w:p>
    <w:p w:rsidR="00CA2A47" w:rsidRPr="00934343" w:rsidRDefault="00CA2A47" w:rsidP="00427E7A"/>
    <w:p w:rsidR="00B15DF0" w:rsidRPr="00934343" w:rsidRDefault="00B15DF0" w:rsidP="00427E7A"/>
    <w:p w:rsidR="00B15DF0" w:rsidRPr="00934343" w:rsidRDefault="00B15DF0" w:rsidP="00427E7A"/>
    <w:p w:rsidR="00B15DF0" w:rsidRPr="00934343" w:rsidRDefault="00B15DF0" w:rsidP="00427E7A"/>
    <w:sectPr w:rsidR="00B15DF0" w:rsidRPr="00934343" w:rsidSect="006844B2">
      <w:pgSz w:w="11906" w:h="17338"/>
      <w:pgMar w:top="1109" w:right="2254" w:bottom="534" w:left="111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041F7"/>
    <w:multiLevelType w:val="hybridMultilevel"/>
    <w:tmpl w:val="A2A40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C0CE1"/>
    <w:multiLevelType w:val="hybridMultilevel"/>
    <w:tmpl w:val="5240EF26"/>
    <w:lvl w:ilvl="0" w:tplc="D884EB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13152"/>
    <w:multiLevelType w:val="hybridMultilevel"/>
    <w:tmpl w:val="88941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D632A"/>
    <w:multiLevelType w:val="hybridMultilevel"/>
    <w:tmpl w:val="048233B4"/>
    <w:lvl w:ilvl="0" w:tplc="D884EB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06B49"/>
    <w:multiLevelType w:val="hybridMultilevel"/>
    <w:tmpl w:val="63CE35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647AC"/>
    <w:multiLevelType w:val="hybridMultilevel"/>
    <w:tmpl w:val="AA0E71B0"/>
    <w:lvl w:ilvl="0" w:tplc="A80A3028">
      <w:start w:val="1"/>
      <w:numFmt w:val="bullet"/>
      <w:lvlRestart w:val="0"/>
      <w:lvlText w:val="•"/>
      <w:lvlJc w:val="left"/>
      <w:pPr>
        <w:tabs>
          <w:tab w:val="num" w:pos="357"/>
        </w:tabs>
        <w:ind w:left="340" w:hanging="340"/>
      </w:pPr>
      <w:rPr>
        <w:rFonts w:ascii="Monotype Corsiva" w:hAnsi="Monotype Corsiva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75C7F"/>
    <w:multiLevelType w:val="hybridMultilevel"/>
    <w:tmpl w:val="836675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51"/>
    <w:rsid w:val="00017ABD"/>
    <w:rsid w:val="00025230"/>
    <w:rsid w:val="00054A31"/>
    <w:rsid w:val="00063B5A"/>
    <w:rsid w:val="00067F8F"/>
    <w:rsid w:val="001416DC"/>
    <w:rsid w:val="00150F16"/>
    <w:rsid w:val="001540C1"/>
    <w:rsid w:val="00155579"/>
    <w:rsid w:val="001950F3"/>
    <w:rsid w:val="001D78CA"/>
    <w:rsid w:val="001F4E28"/>
    <w:rsid w:val="00226E28"/>
    <w:rsid w:val="00241960"/>
    <w:rsid w:val="002874F8"/>
    <w:rsid w:val="00296807"/>
    <w:rsid w:val="002A0A51"/>
    <w:rsid w:val="002E5201"/>
    <w:rsid w:val="00326504"/>
    <w:rsid w:val="00347EC7"/>
    <w:rsid w:val="003649B2"/>
    <w:rsid w:val="00384AC2"/>
    <w:rsid w:val="003872C6"/>
    <w:rsid w:val="00411D18"/>
    <w:rsid w:val="00413607"/>
    <w:rsid w:val="00425321"/>
    <w:rsid w:val="00427E7A"/>
    <w:rsid w:val="00463C38"/>
    <w:rsid w:val="004C69DF"/>
    <w:rsid w:val="005038FC"/>
    <w:rsid w:val="00553082"/>
    <w:rsid w:val="00555D63"/>
    <w:rsid w:val="0059512D"/>
    <w:rsid w:val="005C7D0D"/>
    <w:rsid w:val="005F11B2"/>
    <w:rsid w:val="006007A1"/>
    <w:rsid w:val="0063042E"/>
    <w:rsid w:val="006844B2"/>
    <w:rsid w:val="00697E29"/>
    <w:rsid w:val="00697EE9"/>
    <w:rsid w:val="006B0B0B"/>
    <w:rsid w:val="006C11AD"/>
    <w:rsid w:val="006C3690"/>
    <w:rsid w:val="0079368C"/>
    <w:rsid w:val="00896B0D"/>
    <w:rsid w:val="008B7E79"/>
    <w:rsid w:val="008B7FEC"/>
    <w:rsid w:val="008F1FB5"/>
    <w:rsid w:val="00933F74"/>
    <w:rsid w:val="00934343"/>
    <w:rsid w:val="00962FE2"/>
    <w:rsid w:val="00972F9B"/>
    <w:rsid w:val="00982607"/>
    <w:rsid w:val="009A2088"/>
    <w:rsid w:val="009B0F5A"/>
    <w:rsid w:val="009E5ACE"/>
    <w:rsid w:val="00A02593"/>
    <w:rsid w:val="00A033F3"/>
    <w:rsid w:val="00A15E07"/>
    <w:rsid w:val="00A4231A"/>
    <w:rsid w:val="00A66DEC"/>
    <w:rsid w:val="00A91820"/>
    <w:rsid w:val="00B15DF0"/>
    <w:rsid w:val="00B468D7"/>
    <w:rsid w:val="00B66849"/>
    <w:rsid w:val="00BD7468"/>
    <w:rsid w:val="00C32756"/>
    <w:rsid w:val="00C64C4C"/>
    <w:rsid w:val="00CA1DAC"/>
    <w:rsid w:val="00CA2A47"/>
    <w:rsid w:val="00CE5F0D"/>
    <w:rsid w:val="00D00935"/>
    <w:rsid w:val="00D1214F"/>
    <w:rsid w:val="00D525E6"/>
    <w:rsid w:val="00D5332B"/>
    <w:rsid w:val="00D92398"/>
    <w:rsid w:val="00E07C5B"/>
    <w:rsid w:val="00E4335F"/>
    <w:rsid w:val="00EC3567"/>
    <w:rsid w:val="00EC78F7"/>
    <w:rsid w:val="00EE371C"/>
    <w:rsid w:val="00F8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0B080-712C-4840-B457-4C50CCB5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B0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2A0A5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CA2A47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18"/>
      <w:szCs w:val="18"/>
      <w:lang w:bidi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CA2A47"/>
    <w:rPr>
      <w:rFonts w:eastAsiaTheme="minorEastAsia"/>
      <w:sz w:val="18"/>
      <w:szCs w:val="18"/>
      <w:lang w:bidi="en-US"/>
    </w:rPr>
  </w:style>
  <w:style w:type="paragraph" w:customStyle="1" w:styleId="titel2">
    <w:name w:val="titel2"/>
    <w:basedOn w:val="Normal"/>
    <w:rsid w:val="002E5201"/>
    <w:pPr>
      <w:spacing w:before="200" w:line="240" w:lineRule="auto"/>
      <w:jc w:val="center"/>
    </w:pPr>
    <w:rPr>
      <w:rFonts w:ascii="Tahoma" w:eastAsia="Times New Roman" w:hAnsi="Tahoma" w:cs="Tahoma"/>
      <w:color w:val="000000"/>
      <w:sz w:val="40"/>
      <w:szCs w:val="40"/>
      <w:lang w:eastAsia="da-DK"/>
    </w:rPr>
  </w:style>
  <w:style w:type="paragraph" w:customStyle="1" w:styleId="Normal-Manchet">
    <w:name w:val="Normal-Manchet"/>
    <w:qFormat/>
    <w:rsid w:val="00411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">
    <w:name w:val="Tekst"/>
    <w:basedOn w:val="Normal"/>
    <w:rsid w:val="00411D18"/>
    <w:pPr>
      <w:spacing w:after="0" w:line="300" w:lineRule="atLeast"/>
      <w:ind w:left="851"/>
    </w:pPr>
    <w:rPr>
      <w:rFonts w:ascii="Garamond" w:eastAsia="Times New Roman" w:hAnsi="Garamond" w:cs="Times New Roman"/>
      <w:spacing w:val="4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9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678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15614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6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0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500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5727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5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46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16431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479">
                              <w:marLeft w:val="0"/>
                              <w:marRight w:val="0"/>
                              <w:marTop w:val="0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8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" w:color="FFFFFF"/>
                <w:bottom w:val="none" w:sz="0" w:space="0" w:color="auto"/>
                <w:right w:val="single" w:sz="4" w:space="1" w:color="FFFFFF"/>
              </w:divBdr>
              <w:divsChild>
                <w:div w:id="16493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7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05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 Boelt Møller</dc:creator>
  <cp:lastModifiedBy>Anna Paulin Pedersen</cp:lastModifiedBy>
  <cp:revision>2</cp:revision>
  <dcterms:created xsi:type="dcterms:W3CDTF">2016-11-08T09:17:00Z</dcterms:created>
  <dcterms:modified xsi:type="dcterms:W3CDTF">2016-11-08T09:17:00Z</dcterms:modified>
</cp:coreProperties>
</file>